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F0458" w14:textId="076E8C88" w:rsidR="000A4CC1" w:rsidRDefault="000A4CC1" w:rsidP="003C6478">
      <w:pPr>
        <w:pStyle w:val="paragraph"/>
        <w:shd w:val="clear" w:color="auto" w:fill="F8F9FA"/>
        <w:spacing w:before="0" w:beforeAutospacing="0"/>
        <w:rPr>
          <w:rStyle w:val="normaltextrun"/>
          <w:rFonts w:asciiTheme="minorHAnsi" w:eastAsiaTheme="majorEastAsia" w:hAnsiTheme="minorHAnsi" w:cs="Helvetica"/>
          <w:b/>
          <w:bCs/>
          <w:color w:val="212529"/>
          <w:sz w:val="28"/>
          <w:szCs w:val="28"/>
          <w:lang w:val="en-US"/>
        </w:rPr>
      </w:pPr>
      <w:r w:rsidRPr="00BF068E">
        <w:rPr>
          <w:rStyle w:val="normaltextrun"/>
          <w:rFonts w:asciiTheme="minorHAnsi" w:eastAsiaTheme="majorEastAsia" w:hAnsiTheme="minorHAnsi" w:cs="Helvetica"/>
          <w:b/>
          <w:bCs/>
          <w:color w:val="212529"/>
          <w:sz w:val="28"/>
          <w:szCs w:val="28"/>
          <w:lang w:val="en-US"/>
        </w:rPr>
        <w:t>Reflective Blog Post</w:t>
      </w:r>
      <w:r w:rsidR="0092798C" w:rsidRPr="00BF068E">
        <w:rPr>
          <w:rStyle w:val="normaltextrun"/>
          <w:rFonts w:asciiTheme="minorHAnsi" w:eastAsiaTheme="majorEastAsia" w:hAnsiTheme="minorHAnsi" w:cs="Helvetica"/>
          <w:b/>
          <w:bCs/>
          <w:color w:val="212529"/>
          <w:sz w:val="28"/>
          <w:szCs w:val="28"/>
          <w:lang w:val="en-US"/>
        </w:rPr>
        <w:t>:</w:t>
      </w:r>
      <w:r w:rsidRPr="00BF068E">
        <w:rPr>
          <w:rStyle w:val="normaltextrun"/>
          <w:rFonts w:asciiTheme="minorHAnsi" w:eastAsiaTheme="majorEastAsia" w:hAnsiTheme="minorHAnsi" w:cs="Helvetica"/>
          <w:b/>
          <w:bCs/>
          <w:color w:val="212529"/>
          <w:sz w:val="28"/>
          <w:szCs w:val="28"/>
          <w:lang w:val="en-US"/>
        </w:rPr>
        <w:t xml:space="preserve"> PGcert</w:t>
      </w:r>
      <w:r w:rsidR="004C2EE3" w:rsidRPr="00BF068E">
        <w:rPr>
          <w:rStyle w:val="normaltextrun"/>
          <w:rFonts w:asciiTheme="minorHAnsi" w:eastAsiaTheme="majorEastAsia" w:hAnsiTheme="minorHAnsi" w:cs="Helvetica"/>
          <w:b/>
          <w:bCs/>
          <w:color w:val="212529"/>
          <w:sz w:val="28"/>
          <w:szCs w:val="28"/>
          <w:lang w:val="en-US"/>
        </w:rPr>
        <w:t>-</w:t>
      </w:r>
      <w:r w:rsidR="002B3FA0" w:rsidRPr="00BF068E">
        <w:rPr>
          <w:rStyle w:val="normaltextrun"/>
          <w:rFonts w:asciiTheme="minorHAnsi" w:eastAsiaTheme="majorEastAsia" w:hAnsiTheme="minorHAnsi" w:cs="Helvetica"/>
          <w:b/>
          <w:bCs/>
          <w:color w:val="212529"/>
          <w:sz w:val="28"/>
          <w:szCs w:val="28"/>
          <w:lang w:val="en-US"/>
        </w:rPr>
        <w:t xml:space="preserve"> lesson 1</w:t>
      </w:r>
    </w:p>
    <w:p w14:paraId="0C346EA4" w14:textId="77777777" w:rsidR="00BF068E" w:rsidRPr="00BF068E" w:rsidRDefault="00BF068E" w:rsidP="003C6478">
      <w:pPr>
        <w:pStyle w:val="paragraph"/>
        <w:shd w:val="clear" w:color="auto" w:fill="F8F9FA"/>
        <w:spacing w:before="0" w:beforeAutospacing="0"/>
        <w:rPr>
          <w:rStyle w:val="normaltextrun"/>
          <w:rFonts w:asciiTheme="minorHAnsi" w:eastAsiaTheme="majorEastAsia" w:hAnsiTheme="minorHAnsi" w:cs="Helvetica"/>
          <w:b/>
          <w:bCs/>
          <w:color w:val="212529"/>
          <w:sz w:val="28"/>
          <w:szCs w:val="28"/>
          <w:lang w:val="en-US"/>
        </w:rPr>
      </w:pPr>
    </w:p>
    <w:p w14:paraId="78F57187" w14:textId="37AD536D" w:rsidR="000A4CC1" w:rsidRPr="00BF068E" w:rsidRDefault="000A4CC1"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sidRPr="00BF068E">
        <w:rPr>
          <w:rStyle w:val="normaltextrun"/>
          <w:rFonts w:asciiTheme="minorHAnsi" w:eastAsiaTheme="majorEastAsia" w:hAnsiTheme="minorHAnsi" w:cs="Calibri"/>
          <w:color w:val="212529"/>
          <w:lang w:val="en-US"/>
        </w:rPr>
        <w:t xml:space="preserve">Returning to Masters’ level study after a long period is a fascinating process. On one hand it ties into my work at UAL and forms an important part of my CPD. On the other side of the coin it feels somewhat alienating to be taught something that students might presuppose I already possess. To be blurring the boundaries between roles as a student and a member of staff is slightly uncomfortable. Of course, to be uncomfortable is an important part of growth and knowledge exchange and I feel that I have the self awareness to recognise this as a strength and not a weakness. </w:t>
      </w:r>
    </w:p>
    <w:p w14:paraId="09014A81" w14:textId="4C21C38F" w:rsidR="00B222BF" w:rsidRPr="00BF068E" w:rsidRDefault="00B222BF"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sidRPr="00BF068E">
        <w:rPr>
          <w:rStyle w:val="normaltextrun"/>
          <w:rFonts w:asciiTheme="minorHAnsi" w:eastAsiaTheme="majorEastAsia" w:hAnsiTheme="minorHAnsi" w:cs="Calibri"/>
          <w:color w:val="212529"/>
          <w:lang w:val="en-US"/>
        </w:rPr>
        <w:t>We carried out an exercise in the first class where we laid out a timeline of various events and legislation that have impacted on Higher Education in the UK. This was enlightening for my practice for two key reasons. It made me consider how we operate as neoliberal institution with external faces beyond our control and also how this does, or indeed should</w:t>
      </w:r>
      <w:r w:rsidR="00BF068E">
        <w:rPr>
          <w:rStyle w:val="normaltextrun"/>
          <w:rFonts w:asciiTheme="minorHAnsi" w:eastAsiaTheme="majorEastAsia" w:hAnsiTheme="minorHAnsi" w:cs="Calibri"/>
          <w:color w:val="212529"/>
          <w:lang w:val="en-US"/>
        </w:rPr>
        <w:t>,</w:t>
      </w:r>
      <w:r w:rsidRPr="00BF068E">
        <w:rPr>
          <w:rStyle w:val="normaltextrun"/>
          <w:rFonts w:asciiTheme="minorHAnsi" w:eastAsiaTheme="majorEastAsia" w:hAnsiTheme="minorHAnsi" w:cs="Calibri"/>
          <w:color w:val="212529"/>
          <w:lang w:val="en-US"/>
        </w:rPr>
        <w:t xml:space="preserve"> factor into our pedagogic practice. How</w:t>
      </w:r>
      <w:r w:rsidR="009631DC" w:rsidRPr="00BF068E">
        <w:rPr>
          <w:rStyle w:val="normaltextrun"/>
          <w:rFonts w:asciiTheme="minorHAnsi" w:eastAsiaTheme="majorEastAsia" w:hAnsiTheme="minorHAnsi" w:cs="Calibri"/>
          <w:color w:val="212529"/>
          <w:lang w:val="en-US"/>
        </w:rPr>
        <w:t>, for example</w:t>
      </w:r>
      <w:r w:rsidR="00024751" w:rsidRPr="00BF068E">
        <w:rPr>
          <w:rStyle w:val="normaltextrun"/>
          <w:rFonts w:asciiTheme="minorHAnsi" w:eastAsiaTheme="majorEastAsia" w:hAnsiTheme="minorHAnsi" w:cs="Calibri"/>
          <w:color w:val="212529"/>
          <w:lang w:val="en-US"/>
        </w:rPr>
        <w:t xml:space="preserve">, </w:t>
      </w:r>
      <w:r w:rsidRPr="00BF068E">
        <w:rPr>
          <w:rStyle w:val="normaltextrun"/>
          <w:rFonts w:asciiTheme="minorHAnsi" w:eastAsiaTheme="majorEastAsia" w:hAnsiTheme="minorHAnsi" w:cs="Calibri"/>
          <w:color w:val="212529"/>
          <w:lang w:val="en-US"/>
        </w:rPr>
        <w:t xml:space="preserve">do tuition fees and potential future </w:t>
      </w:r>
      <w:r w:rsidR="009631DC" w:rsidRPr="00BF068E">
        <w:rPr>
          <w:rStyle w:val="normaltextrun"/>
          <w:rFonts w:asciiTheme="minorHAnsi" w:eastAsiaTheme="majorEastAsia" w:hAnsiTheme="minorHAnsi" w:cs="Calibri"/>
          <w:color w:val="212529"/>
          <w:lang w:val="en-US"/>
        </w:rPr>
        <w:t>increases feed into our approach? Within my practice I have always believed in equity of access and taken the position that HE is very much worth the financial sacrifice if students endeavor to make the most out of it. Being a first generation student myself I find it fascinating that we are potentially moving to a time where the costs are so large that the sums are largely meaningless to low income and middle class families alike. A side effect of repayment structures and discussions of a graduate tax model have almost resulted in ‘parity by accident’. With our graduate outcomes being made up of large numbers of freelancers I feel that this puts UAL in a very interesting and unique position. Are we teaching our students to equip them with the skills and experience for a financially successful career</w:t>
      </w:r>
      <w:r w:rsidR="00C8436B">
        <w:rPr>
          <w:rStyle w:val="normaltextrun"/>
          <w:rFonts w:asciiTheme="minorHAnsi" w:eastAsiaTheme="majorEastAsia" w:hAnsiTheme="minorHAnsi" w:cs="Calibri"/>
          <w:color w:val="212529"/>
          <w:lang w:val="en-US"/>
        </w:rPr>
        <w:t xml:space="preserve"> ?</w:t>
      </w:r>
      <w:r w:rsidR="009631DC" w:rsidRPr="00BF068E">
        <w:rPr>
          <w:rStyle w:val="normaltextrun"/>
          <w:rFonts w:asciiTheme="minorHAnsi" w:eastAsiaTheme="majorEastAsia" w:hAnsiTheme="minorHAnsi" w:cs="Calibri"/>
          <w:color w:val="212529"/>
          <w:lang w:val="en-US"/>
        </w:rPr>
        <w:t xml:space="preserve"> </w:t>
      </w:r>
      <w:r w:rsidR="00C8436B">
        <w:rPr>
          <w:rStyle w:val="normaltextrun"/>
          <w:rFonts w:asciiTheme="minorHAnsi" w:eastAsiaTheme="majorEastAsia" w:hAnsiTheme="minorHAnsi" w:cs="Calibri"/>
          <w:color w:val="212529"/>
          <w:lang w:val="en-US"/>
        </w:rPr>
        <w:t xml:space="preserve"> Are we </w:t>
      </w:r>
      <w:r w:rsidR="002B3FA0" w:rsidRPr="00BF068E">
        <w:rPr>
          <w:rStyle w:val="normaltextrun"/>
          <w:rFonts w:asciiTheme="minorHAnsi" w:eastAsiaTheme="majorEastAsia" w:hAnsiTheme="minorHAnsi" w:cs="Calibri"/>
          <w:color w:val="212529"/>
          <w:lang w:val="en-US"/>
        </w:rPr>
        <w:t xml:space="preserve">encouraging them to put following their creative muse at the forefront of their studies? </w:t>
      </w:r>
      <w:r w:rsidR="00C8436B">
        <w:rPr>
          <w:rStyle w:val="normaltextrun"/>
          <w:rFonts w:asciiTheme="minorHAnsi" w:eastAsiaTheme="majorEastAsia" w:hAnsiTheme="minorHAnsi" w:cs="Calibri"/>
          <w:color w:val="212529"/>
          <w:lang w:val="en-US"/>
        </w:rPr>
        <w:t>I feel it is likely we are doing both but to what extent and how this aligns with student expectations is unclear.</w:t>
      </w:r>
    </w:p>
    <w:p w14:paraId="46F1E651" w14:textId="2FFD52D3" w:rsidR="00666C53" w:rsidRDefault="00823E78" w:rsidP="003C6478">
      <w:pPr>
        <w:pStyle w:val="paragraph"/>
        <w:shd w:val="clear" w:color="auto" w:fill="F8F9FA"/>
        <w:spacing w:before="0" w:beforeAutospacing="0"/>
        <w:rPr>
          <w:rFonts w:asciiTheme="minorHAnsi" w:hAnsiTheme="minorHAnsi" w:cs="Calibri"/>
          <w:color w:val="000000"/>
          <w:shd w:val="clear" w:color="auto" w:fill="FFFFFF"/>
        </w:rPr>
      </w:pPr>
      <w:r w:rsidRPr="00BF068E">
        <w:rPr>
          <w:rStyle w:val="normaltextrun"/>
          <w:rFonts w:asciiTheme="minorHAnsi" w:eastAsiaTheme="majorEastAsia" w:hAnsiTheme="minorHAnsi" w:cs="Calibri"/>
          <w:color w:val="212529"/>
          <w:lang w:val="en-US"/>
        </w:rPr>
        <w:t xml:space="preserve">Another key observation I made was around the largely ‘one size fits all’ approach to Higher Education legislation. This was particularly enlightening for me as much of my work is related to areas around widening participation, attainment gaps and intersectionality. There are a multitude of examples of inclusive policies at local level, ie the UAL Access and Participation Plan </w:t>
      </w:r>
      <w:r w:rsidR="00C8436B" w:rsidRPr="00C8436B">
        <w:rPr>
          <w:rStyle w:val="normaltextrun"/>
          <w:rFonts w:asciiTheme="minorHAnsi" w:eastAsiaTheme="majorEastAsia" w:hAnsiTheme="minorHAnsi" w:cs="Calibri"/>
          <w:i/>
          <w:iCs/>
          <w:color w:val="212529"/>
          <w:lang w:val="en-US"/>
        </w:rPr>
        <w:t>(see appendix, figure 1)</w:t>
      </w:r>
      <w:r w:rsidR="00C8436B">
        <w:rPr>
          <w:rStyle w:val="normaltextrun"/>
          <w:rFonts w:asciiTheme="minorHAnsi" w:eastAsiaTheme="majorEastAsia" w:hAnsiTheme="minorHAnsi" w:cs="Calibri"/>
          <w:color w:val="212529"/>
          <w:lang w:val="en-US"/>
        </w:rPr>
        <w:t xml:space="preserve"> </w:t>
      </w:r>
      <w:r w:rsidRPr="00BF068E">
        <w:rPr>
          <w:rStyle w:val="normaltextrun"/>
          <w:rFonts w:asciiTheme="minorHAnsi" w:eastAsiaTheme="majorEastAsia" w:hAnsiTheme="minorHAnsi" w:cs="Calibri"/>
          <w:color w:val="212529"/>
          <w:lang w:val="en-US"/>
        </w:rPr>
        <w:t xml:space="preserve">but very little of substance at a national level. In once sense this local level autonomy is valuable but equally something </w:t>
      </w:r>
      <w:r w:rsidR="00666C53" w:rsidRPr="00BF068E">
        <w:rPr>
          <w:rStyle w:val="normaltextrun"/>
          <w:rFonts w:asciiTheme="minorHAnsi" w:eastAsiaTheme="majorEastAsia" w:hAnsiTheme="minorHAnsi" w:cs="Calibri"/>
          <w:color w:val="212529"/>
          <w:lang w:val="en-US"/>
        </w:rPr>
        <w:t xml:space="preserve">which is at odds with policies such as the </w:t>
      </w:r>
      <w:r w:rsidR="00666C53" w:rsidRPr="00BF068E">
        <w:rPr>
          <w:rStyle w:val="normaltextrun"/>
          <w:rFonts w:asciiTheme="minorHAnsi" w:eastAsiaTheme="majorEastAsia" w:hAnsiTheme="minorHAnsi" w:cs="Calibri"/>
          <w:i/>
          <w:iCs/>
          <w:color w:val="212529"/>
          <w:lang w:val="en-US"/>
        </w:rPr>
        <w:t xml:space="preserve">Further Education Act 1992 </w:t>
      </w:r>
      <w:r w:rsidR="00666C53" w:rsidRPr="00BF068E">
        <w:rPr>
          <w:rStyle w:val="normaltextrun"/>
          <w:rFonts w:asciiTheme="minorHAnsi" w:eastAsiaTheme="majorEastAsia" w:hAnsiTheme="minorHAnsi" w:cs="Calibri"/>
          <w:color w:val="212529"/>
          <w:lang w:val="en-US"/>
        </w:rPr>
        <w:t>when Polytechnics took University titles.</w:t>
      </w:r>
      <w:r w:rsidR="0092798C" w:rsidRPr="00BF068E">
        <w:rPr>
          <w:rStyle w:val="normaltextrun"/>
          <w:rFonts w:asciiTheme="minorHAnsi" w:eastAsiaTheme="majorEastAsia" w:hAnsiTheme="minorHAnsi" w:cs="Calibri"/>
          <w:color w:val="212529"/>
          <w:lang w:val="en-US"/>
        </w:rPr>
        <w:t xml:space="preserve"> </w:t>
      </w:r>
      <w:r w:rsidR="00666C53" w:rsidRPr="00BF068E">
        <w:rPr>
          <w:rStyle w:val="normaltextrun"/>
          <w:rFonts w:asciiTheme="minorHAnsi" w:eastAsiaTheme="majorEastAsia" w:hAnsiTheme="minorHAnsi" w:cs="Calibri"/>
          <w:color w:val="212529"/>
          <w:lang w:val="en-US"/>
        </w:rPr>
        <w:t xml:space="preserve">Morgan </w:t>
      </w:r>
      <w:r w:rsidR="0092798C" w:rsidRPr="00BF068E">
        <w:rPr>
          <w:rStyle w:val="normaltextrun"/>
          <w:rFonts w:asciiTheme="minorHAnsi" w:eastAsiaTheme="majorEastAsia" w:hAnsiTheme="minorHAnsi" w:cs="Calibri"/>
          <w:color w:val="212529"/>
          <w:lang w:val="en-US"/>
        </w:rPr>
        <w:t xml:space="preserve">(2020) </w:t>
      </w:r>
      <w:r w:rsidR="00666C53" w:rsidRPr="00BF068E">
        <w:rPr>
          <w:rStyle w:val="normaltextrun"/>
          <w:rFonts w:asciiTheme="minorHAnsi" w:eastAsiaTheme="majorEastAsia" w:hAnsiTheme="minorHAnsi" w:cs="Calibri"/>
          <w:color w:val="212529"/>
          <w:lang w:val="en-US"/>
        </w:rPr>
        <w:t xml:space="preserve">refers to this when he talks about </w:t>
      </w:r>
      <w:r w:rsidR="0092798C" w:rsidRPr="00BF068E">
        <w:rPr>
          <w:rFonts w:asciiTheme="minorHAnsi" w:hAnsiTheme="minorHAnsi" w:cs="Arial"/>
          <w:i/>
          <w:iCs/>
          <w:color w:val="000000"/>
          <w:shd w:val="clear" w:color="auto" w:fill="FFFFFF"/>
        </w:rPr>
        <w:t>‘</w:t>
      </w:r>
      <w:r w:rsidR="0092798C" w:rsidRPr="00BF068E">
        <w:rPr>
          <w:rFonts w:asciiTheme="minorHAnsi" w:hAnsiTheme="minorHAnsi" w:cs="Calibri"/>
          <w:color w:val="000000"/>
          <w:shd w:val="clear" w:color="auto" w:fill="FFFFFF"/>
        </w:rPr>
        <w:t>T</w:t>
      </w:r>
      <w:r w:rsidR="00666C53" w:rsidRPr="00BF068E">
        <w:rPr>
          <w:rFonts w:asciiTheme="minorHAnsi" w:hAnsiTheme="minorHAnsi" w:cs="Calibri"/>
          <w:color w:val="000000"/>
          <w:shd w:val="clear" w:color="auto" w:fill="FFFFFF"/>
        </w:rPr>
        <w:t>he removal of local authority control of the polytechnics representing a shift away from local decision making</w:t>
      </w:r>
      <w:r w:rsidR="0092798C" w:rsidRPr="00BF068E">
        <w:rPr>
          <w:rFonts w:asciiTheme="minorHAnsi" w:hAnsiTheme="minorHAnsi" w:cs="Calibri"/>
          <w:color w:val="000000"/>
          <w:shd w:val="clear" w:color="auto" w:fill="FFFFFF"/>
        </w:rPr>
        <w:t>.’</w:t>
      </w:r>
      <w:r w:rsidR="00666C53" w:rsidRPr="00BF068E">
        <w:rPr>
          <w:rFonts w:asciiTheme="minorHAnsi" w:hAnsiTheme="minorHAnsi" w:cs="Calibri"/>
          <w:color w:val="000000"/>
          <w:shd w:val="clear" w:color="auto" w:fill="FFFFFF"/>
        </w:rPr>
        <w:t xml:space="preserve"> </w:t>
      </w:r>
    </w:p>
    <w:p w14:paraId="323431AD" w14:textId="3A1A13E3" w:rsidR="005F14B1" w:rsidRDefault="005F14B1" w:rsidP="003C6478">
      <w:pPr>
        <w:pStyle w:val="paragraph"/>
        <w:shd w:val="clear" w:color="auto" w:fill="F8F9FA"/>
        <w:spacing w:before="0" w:beforeAutospacing="0"/>
        <w:rPr>
          <w:rFonts w:asciiTheme="minorHAnsi" w:hAnsiTheme="minorHAnsi" w:cs="Calibri"/>
          <w:color w:val="000000"/>
          <w:shd w:val="clear" w:color="auto" w:fill="FFFFFF"/>
        </w:rPr>
      </w:pPr>
      <w:r>
        <w:rPr>
          <w:rFonts w:ascii="Aptos" w:hAnsi="Aptos"/>
          <w:color w:val="000000"/>
        </w:rPr>
        <w:t xml:space="preserve">I feel that the notion for a standardised approach to HE delivery poses challenges for specific subject areas. I believe that for Art &amp; Design we are perhaps restricted in our pedagogic approaches through certain procrustean legislation. For example, models such as Edgar Dales Cone of Learning </w:t>
      </w:r>
      <w:r>
        <w:rPr>
          <w:rFonts w:ascii="Aptos" w:hAnsi="Aptos"/>
          <w:i/>
          <w:iCs/>
          <w:color w:val="000000"/>
        </w:rPr>
        <w:t>(</w:t>
      </w:r>
      <w:r w:rsidR="00604E5F">
        <w:rPr>
          <w:rFonts w:ascii="Aptos" w:hAnsi="Aptos"/>
          <w:i/>
          <w:iCs/>
          <w:color w:val="000000"/>
        </w:rPr>
        <w:t>Figure 5-</w:t>
      </w:r>
      <w:r>
        <w:rPr>
          <w:rFonts w:ascii="Aptos" w:hAnsi="Aptos"/>
          <w:i/>
          <w:iCs/>
          <w:color w:val="000000"/>
        </w:rPr>
        <w:t xml:space="preserve"> appendix) </w:t>
      </w:r>
      <w:r>
        <w:rPr>
          <w:rFonts w:ascii="Aptos" w:hAnsi="Aptos"/>
          <w:color w:val="000000"/>
        </w:rPr>
        <w:t xml:space="preserve">suggest the benefits of </w:t>
      </w:r>
      <w:r w:rsidR="00863EDD">
        <w:rPr>
          <w:rFonts w:ascii="Aptos" w:hAnsi="Aptos"/>
          <w:color w:val="000000"/>
        </w:rPr>
        <w:t xml:space="preserve">active learning </w:t>
      </w:r>
      <w:r>
        <w:rPr>
          <w:rFonts w:ascii="Aptos" w:hAnsi="Aptos"/>
          <w:color w:val="000000"/>
        </w:rPr>
        <w:t xml:space="preserve">which synergises well with UAL's course portfolio. This approach might </w:t>
      </w:r>
      <w:r>
        <w:rPr>
          <w:rFonts w:ascii="Aptos" w:hAnsi="Aptos"/>
          <w:color w:val="000000"/>
        </w:rPr>
        <w:lastRenderedPageBreak/>
        <w:t xml:space="preserve">be at odds with the </w:t>
      </w:r>
      <w:r>
        <w:rPr>
          <w:rFonts w:ascii="Aptos" w:hAnsi="Aptos"/>
          <w:i/>
          <w:iCs/>
          <w:color w:val="000000"/>
        </w:rPr>
        <w:t xml:space="preserve">UK Quality code for Higher Education 2024 </w:t>
      </w:r>
      <w:r>
        <w:rPr>
          <w:rFonts w:ascii="Aptos" w:hAnsi="Aptos"/>
          <w:color w:val="000000"/>
        </w:rPr>
        <w:t>where, for example</w:t>
      </w:r>
      <w:r w:rsidR="00604E5F">
        <w:rPr>
          <w:rFonts w:ascii="Aptos" w:hAnsi="Aptos"/>
          <w:color w:val="000000"/>
        </w:rPr>
        <w:t>,</w:t>
      </w:r>
      <w:r>
        <w:rPr>
          <w:rFonts w:ascii="Aptos" w:hAnsi="Aptos"/>
          <w:color w:val="000000"/>
        </w:rPr>
        <w:t xml:space="preserve"> the principles of teaching &amp; learning suggest the need to be 'authentic'</w:t>
      </w:r>
      <w:r>
        <w:rPr>
          <w:rFonts w:ascii="Aptos" w:hAnsi="Aptos"/>
          <w:i/>
          <w:iCs/>
          <w:color w:val="000000"/>
        </w:rPr>
        <w:t> (</w:t>
      </w:r>
      <w:r w:rsidR="00604E5F">
        <w:rPr>
          <w:rFonts w:ascii="Aptos" w:hAnsi="Aptos"/>
          <w:i/>
          <w:iCs/>
          <w:color w:val="000000"/>
        </w:rPr>
        <w:t>Appendix- Figure 6</w:t>
      </w:r>
      <w:r>
        <w:rPr>
          <w:rFonts w:ascii="Aptos" w:hAnsi="Aptos"/>
          <w:i/>
          <w:iCs/>
          <w:color w:val="000000"/>
        </w:rPr>
        <w:t>)</w:t>
      </w:r>
      <w:r>
        <w:rPr>
          <w:rFonts w:ascii="Aptos" w:hAnsi="Aptos"/>
          <w:color w:val="000000"/>
        </w:rPr>
        <w:t>, a term which is open to interpretation. </w:t>
      </w:r>
    </w:p>
    <w:p w14:paraId="69CFFFBF" w14:textId="4772D0A6" w:rsidR="00666C53" w:rsidRDefault="002B3FA0"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sidRPr="00BF068E">
        <w:rPr>
          <w:rStyle w:val="normaltextrun"/>
          <w:rFonts w:asciiTheme="minorHAnsi" w:eastAsiaTheme="majorEastAsia" w:hAnsiTheme="minorHAnsi" w:cs="Calibri"/>
          <w:color w:val="212529"/>
          <w:lang w:val="en-US"/>
        </w:rPr>
        <w:t xml:space="preserve">I left the class thinking that as creative practitioners we need to have the tools to respond flexibly to student needs. Taking an interdisciplinary holistic approach to </w:t>
      </w:r>
      <w:r w:rsidR="0092798C" w:rsidRPr="00BF068E">
        <w:rPr>
          <w:rStyle w:val="normaltextrun"/>
          <w:rFonts w:asciiTheme="minorHAnsi" w:eastAsiaTheme="majorEastAsia" w:hAnsiTheme="minorHAnsi" w:cs="Calibri"/>
          <w:color w:val="212529"/>
          <w:lang w:val="en-US"/>
        </w:rPr>
        <w:t>the pedagogic and structural challenges we face in a continually evolving environment</w:t>
      </w:r>
      <w:r w:rsidRPr="00BF068E">
        <w:rPr>
          <w:rStyle w:val="normaltextrun"/>
          <w:rFonts w:asciiTheme="minorHAnsi" w:eastAsiaTheme="majorEastAsia" w:hAnsiTheme="minorHAnsi" w:cs="Calibri"/>
          <w:color w:val="212529"/>
          <w:lang w:val="en-US"/>
        </w:rPr>
        <w:t xml:space="preserve"> is probably the best approach</w:t>
      </w:r>
      <w:r w:rsidR="00C82318" w:rsidRPr="00BF068E">
        <w:rPr>
          <w:rStyle w:val="normaltextrun"/>
          <w:rFonts w:asciiTheme="minorHAnsi" w:eastAsiaTheme="majorEastAsia" w:hAnsiTheme="minorHAnsi" w:cs="Calibri"/>
          <w:color w:val="212529"/>
          <w:lang w:val="en-US"/>
        </w:rPr>
        <w:t xml:space="preserve"> for staff and students alike.</w:t>
      </w:r>
    </w:p>
    <w:p w14:paraId="6603AC99" w14:textId="77777777" w:rsidR="005F14B1" w:rsidRPr="005F14B1" w:rsidRDefault="005F14B1"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p>
    <w:p w14:paraId="3837ABB4" w14:textId="56FE0343" w:rsidR="00B222BF" w:rsidRPr="00BF068E" w:rsidRDefault="00666C53" w:rsidP="003C6478">
      <w:pPr>
        <w:pStyle w:val="paragraph"/>
        <w:shd w:val="clear" w:color="auto" w:fill="F8F9FA"/>
        <w:spacing w:before="0" w:beforeAutospacing="0"/>
        <w:rPr>
          <w:rStyle w:val="normaltextrun"/>
          <w:rFonts w:asciiTheme="minorHAnsi" w:eastAsiaTheme="majorEastAsia" w:hAnsiTheme="minorHAnsi" w:cs="Calibri"/>
          <w:b/>
          <w:bCs/>
          <w:color w:val="212529"/>
          <w:lang w:val="en-US"/>
        </w:rPr>
      </w:pPr>
      <w:r w:rsidRPr="00BF068E">
        <w:rPr>
          <w:rStyle w:val="normaltextrun"/>
          <w:rFonts w:asciiTheme="minorHAnsi" w:eastAsiaTheme="majorEastAsia" w:hAnsiTheme="minorHAnsi" w:cs="Calibri"/>
          <w:b/>
          <w:bCs/>
          <w:color w:val="212529"/>
          <w:lang w:val="en-US"/>
        </w:rPr>
        <w:t>References</w:t>
      </w:r>
    </w:p>
    <w:p w14:paraId="113C6692" w14:textId="5454DF0E" w:rsidR="00666C53" w:rsidRPr="00BF068E" w:rsidRDefault="00666C53"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sidRPr="00BF068E">
        <w:rPr>
          <w:rStyle w:val="normaltextrun"/>
          <w:rFonts w:asciiTheme="minorHAnsi" w:eastAsiaTheme="majorEastAsia" w:hAnsiTheme="minorHAnsi" w:cs="Calibri"/>
          <w:color w:val="212529"/>
          <w:lang w:val="en-US"/>
        </w:rPr>
        <w:t xml:space="preserve">C. Morgan (2020) quoted in the Blog Post- ‘Learning from the Past: What can we learn from Polytechnics?’ </w:t>
      </w:r>
    </w:p>
    <w:p w14:paraId="35FF128B" w14:textId="5806F8E0" w:rsidR="00666C53" w:rsidRPr="00BF068E" w:rsidRDefault="00666C53"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hyperlink r:id="rId5" w:history="1">
        <w:r w:rsidRPr="00BF068E">
          <w:rPr>
            <w:rStyle w:val="Hyperlink"/>
            <w:rFonts w:asciiTheme="minorHAnsi" w:eastAsiaTheme="majorEastAsia" w:hAnsiTheme="minorHAnsi" w:cs="Calibri"/>
            <w:lang w:val="en-US"/>
          </w:rPr>
          <w:t>https://www.hepi.ac.uk/2022/01/25/learning-from-the-past-what-can-we-learn-from-polytechnics/</w:t>
        </w:r>
      </w:hyperlink>
    </w:p>
    <w:p w14:paraId="7C90D90D" w14:textId="77777777" w:rsidR="00666C53" w:rsidRPr="00BF068E" w:rsidRDefault="00666C53"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p>
    <w:p w14:paraId="59A77864" w14:textId="10B8A8B4" w:rsidR="00C82318" w:rsidRPr="00BF068E" w:rsidRDefault="00C82318" w:rsidP="003C6478">
      <w:pPr>
        <w:pStyle w:val="paragraph"/>
        <w:shd w:val="clear" w:color="auto" w:fill="F8F9FA"/>
        <w:spacing w:before="0" w:beforeAutospacing="0"/>
        <w:rPr>
          <w:rStyle w:val="normaltextrun"/>
          <w:rFonts w:asciiTheme="minorHAnsi" w:eastAsiaTheme="majorEastAsia" w:hAnsiTheme="minorHAnsi" w:cs="Calibri"/>
          <w:b/>
          <w:bCs/>
          <w:color w:val="212529"/>
          <w:lang w:val="en-US"/>
        </w:rPr>
      </w:pPr>
      <w:r w:rsidRPr="00BF068E">
        <w:rPr>
          <w:rStyle w:val="normaltextrun"/>
          <w:rFonts w:asciiTheme="minorHAnsi" w:eastAsiaTheme="majorEastAsia" w:hAnsiTheme="minorHAnsi" w:cs="Calibri"/>
          <w:b/>
          <w:bCs/>
          <w:color w:val="212529"/>
          <w:lang w:val="en-US"/>
        </w:rPr>
        <w:t>Appendix</w:t>
      </w:r>
      <w:r w:rsidR="00604E5F">
        <w:rPr>
          <w:rStyle w:val="normaltextrun"/>
          <w:rFonts w:asciiTheme="minorHAnsi" w:eastAsiaTheme="majorEastAsia" w:hAnsiTheme="minorHAnsi" w:cs="Calibri"/>
          <w:b/>
          <w:bCs/>
          <w:color w:val="212529"/>
          <w:lang w:val="en-US"/>
        </w:rPr>
        <w:t xml:space="preserve">   (see attachments)</w:t>
      </w:r>
    </w:p>
    <w:p w14:paraId="0064FA6E" w14:textId="59C4A347" w:rsidR="00C82318" w:rsidRDefault="00C82318"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sidRPr="00BF068E">
        <w:rPr>
          <w:rStyle w:val="normaltextrun"/>
          <w:rFonts w:asciiTheme="minorHAnsi" w:eastAsiaTheme="majorEastAsia" w:hAnsiTheme="minorHAnsi" w:cs="Calibri"/>
          <w:color w:val="212529"/>
          <w:lang w:val="en-US"/>
        </w:rPr>
        <w:t xml:space="preserve">UAL Access &amp; Participation Plan 2025- 26   </w:t>
      </w:r>
    </w:p>
    <w:p w14:paraId="1E9C792B" w14:textId="67B8C890" w:rsidR="005F14B1" w:rsidRDefault="005F14B1"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Pr>
          <w:rStyle w:val="normaltextrun"/>
          <w:rFonts w:asciiTheme="minorHAnsi" w:eastAsiaTheme="majorEastAsia" w:hAnsiTheme="minorHAnsi" w:cs="Calibri"/>
          <w:color w:val="212529"/>
          <w:lang w:val="en-US"/>
        </w:rPr>
        <w:t xml:space="preserve">The UK Quality Code for Higher Education 2024  </w:t>
      </w:r>
      <w:r w:rsidR="00604E5F">
        <w:rPr>
          <w:rStyle w:val="normaltextrun"/>
          <w:rFonts w:asciiTheme="minorHAnsi" w:eastAsiaTheme="majorEastAsia" w:hAnsiTheme="minorHAnsi" w:cs="Calibri"/>
          <w:color w:val="212529"/>
          <w:lang w:val="en-US"/>
        </w:rPr>
        <w:t>[page 14- principle F]</w:t>
      </w:r>
    </w:p>
    <w:p w14:paraId="2C3FC98F" w14:textId="273E00FD" w:rsidR="005F14B1" w:rsidRPr="00BF068E" w:rsidRDefault="005F14B1" w:rsidP="003C6478">
      <w:pPr>
        <w:pStyle w:val="paragraph"/>
        <w:shd w:val="clear" w:color="auto" w:fill="F8F9FA"/>
        <w:spacing w:before="0" w:beforeAutospacing="0"/>
        <w:rPr>
          <w:rStyle w:val="normaltextrun"/>
          <w:rFonts w:asciiTheme="minorHAnsi" w:eastAsiaTheme="majorEastAsia" w:hAnsiTheme="minorHAnsi" w:cs="Calibri"/>
          <w:color w:val="212529"/>
          <w:lang w:val="en-US"/>
        </w:rPr>
      </w:pPr>
      <w:r>
        <w:rPr>
          <w:rStyle w:val="normaltextrun"/>
          <w:rFonts w:asciiTheme="minorHAnsi" w:eastAsiaTheme="majorEastAsia" w:hAnsiTheme="minorHAnsi" w:cs="Calibri"/>
          <w:color w:val="212529"/>
          <w:lang w:val="en-US"/>
        </w:rPr>
        <w:t xml:space="preserve">Edgar Dales Cone of Learning, 1946   </w:t>
      </w:r>
    </w:p>
    <w:p w14:paraId="2E0FE041" w14:textId="77777777" w:rsidR="003C6478" w:rsidRDefault="003C6478" w:rsidP="003C6478"/>
    <w:p w14:paraId="321AF6DB" w14:textId="77777777" w:rsidR="003C6478" w:rsidRDefault="003C6478" w:rsidP="003C6478"/>
    <w:p w14:paraId="2DD27814" w14:textId="77777777" w:rsidR="00CB483D" w:rsidRDefault="00CB483D"/>
    <w:sectPr w:rsidR="00CB48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0A38"/>
    <w:multiLevelType w:val="multilevel"/>
    <w:tmpl w:val="ED0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FF6664"/>
    <w:multiLevelType w:val="multilevel"/>
    <w:tmpl w:val="B4D2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60636">
    <w:abstractNumId w:val="0"/>
  </w:num>
  <w:num w:numId="2" w16cid:durableId="55134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78"/>
    <w:rsid w:val="00024751"/>
    <w:rsid w:val="000A4CC1"/>
    <w:rsid w:val="002B3FA0"/>
    <w:rsid w:val="00330361"/>
    <w:rsid w:val="00353DEA"/>
    <w:rsid w:val="003C6478"/>
    <w:rsid w:val="00401A46"/>
    <w:rsid w:val="004C2EE3"/>
    <w:rsid w:val="005042F5"/>
    <w:rsid w:val="005F14B1"/>
    <w:rsid w:val="00604E5F"/>
    <w:rsid w:val="00666C53"/>
    <w:rsid w:val="00823E78"/>
    <w:rsid w:val="00863EDD"/>
    <w:rsid w:val="0089301C"/>
    <w:rsid w:val="008E04BA"/>
    <w:rsid w:val="0092798C"/>
    <w:rsid w:val="009631DC"/>
    <w:rsid w:val="009B5288"/>
    <w:rsid w:val="00B222BF"/>
    <w:rsid w:val="00BF068E"/>
    <w:rsid w:val="00C82318"/>
    <w:rsid w:val="00C8436B"/>
    <w:rsid w:val="00CB483D"/>
    <w:rsid w:val="00E522F1"/>
    <w:rsid w:val="00E81DE5"/>
    <w:rsid w:val="00EB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E1A6"/>
  <w15:chartTrackingRefBased/>
  <w15:docId w15:val="{F2C85BE2-7CBE-47D7-9298-A4D63C62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478"/>
  </w:style>
  <w:style w:type="paragraph" w:styleId="Heading1">
    <w:name w:val="heading 1"/>
    <w:basedOn w:val="Normal"/>
    <w:next w:val="Normal"/>
    <w:link w:val="Heading1Char"/>
    <w:uiPriority w:val="9"/>
    <w:qFormat/>
    <w:rsid w:val="003C64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64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64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64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4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4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4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4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4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4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64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64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64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4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4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4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4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478"/>
    <w:rPr>
      <w:rFonts w:eastAsiaTheme="majorEastAsia" w:cstheme="majorBidi"/>
      <w:color w:val="272727" w:themeColor="text1" w:themeTint="D8"/>
    </w:rPr>
  </w:style>
  <w:style w:type="paragraph" w:styleId="Title">
    <w:name w:val="Title"/>
    <w:basedOn w:val="Normal"/>
    <w:next w:val="Normal"/>
    <w:link w:val="TitleChar"/>
    <w:uiPriority w:val="10"/>
    <w:qFormat/>
    <w:rsid w:val="003C64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4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4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4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478"/>
    <w:pPr>
      <w:spacing w:before="160"/>
      <w:jc w:val="center"/>
    </w:pPr>
    <w:rPr>
      <w:i/>
      <w:iCs/>
      <w:color w:val="404040" w:themeColor="text1" w:themeTint="BF"/>
    </w:rPr>
  </w:style>
  <w:style w:type="character" w:customStyle="1" w:styleId="QuoteChar">
    <w:name w:val="Quote Char"/>
    <w:basedOn w:val="DefaultParagraphFont"/>
    <w:link w:val="Quote"/>
    <w:uiPriority w:val="29"/>
    <w:rsid w:val="003C6478"/>
    <w:rPr>
      <w:i/>
      <w:iCs/>
      <w:color w:val="404040" w:themeColor="text1" w:themeTint="BF"/>
    </w:rPr>
  </w:style>
  <w:style w:type="paragraph" w:styleId="ListParagraph">
    <w:name w:val="List Paragraph"/>
    <w:basedOn w:val="Normal"/>
    <w:uiPriority w:val="34"/>
    <w:qFormat/>
    <w:rsid w:val="003C6478"/>
    <w:pPr>
      <w:ind w:left="720"/>
      <w:contextualSpacing/>
    </w:pPr>
  </w:style>
  <w:style w:type="character" w:styleId="IntenseEmphasis">
    <w:name w:val="Intense Emphasis"/>
    <w:basedOn w:val="DefaultParagraphFont"/>
    <w:uiPriority w:val="21"/>
    <w:qFormat/>
    <w:rsid w:val="003C6478"/>
    <w:rPr>
      <w:i/>
      <w:iCs/>
      <w:color w:val="0F4761" w:themeColor="accent1" w:themeShade="BF"/>
    </w:rPr>
  </w:style>
  <w:style w:type="paragraph" w:styleId="IntenseQuote">
    <w:name w:val="Intense Quote"/>
    <w:basedOn w:val="Normal"/>
    <w:next w:val="Normal"/>
    <w:link w:val="IntenseQuoteChar"/>
    <w:uiPriority w:val="30"/>
    <w:qFormat/>
    <w:rsid w:val="003C64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478"/>
    <w:rPr>
      <w:i/>
      <w:iCs/>
      <w:color w:val="0F4761" w:themeColor="accent1" w:themeShade="BF"/>
    </w:rPr>
  </w:style>
  <w:style w:type="character" w:styleId="IntenseReference">
    <w:name w:val="Intense Reference"/>
    <w:basedOn w:val="DefaultParagraphFont"/>
    <w:uiPriority w:val="32"/>
    <w:qFormat/>
    <w:rsid w:val="003C6478"/>
    <w:rPr>
      <w:b/>
      <w:bCs/>
      <w:smallCaps/>
      <w:color w:val="0F4761" w:themeColor="accent1" w:themeShade="BF"/>
      <w:spacing w:val="5"/>
    </w:rPr>
  </w:style>
  <w:style w:type="paragraph" w:customStyle="1" w:styleId="paragraph">
    <w:name w:val="paragraph"/>
    <w:basedOn w:val="Normal"/>
    <w:rsid w:val="003C64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3C6478"/>
  </w:style>
  <w:style w:type="character" w:customStyle="1" w:styleId="eop">
    <w:name w:val="eop"/>
    <w:basedOn w:val="DefaultParagraphFont"/>
    <w:rsid w:val="003C6478"/>
  </w:style>
  <w:style w:type="paragraph" w:styleId="NormalWeb">
    <w:name w:val="Normal (Web)"/>
    <w:basedOn w:val="Normal"/>
    <w:uiPriority w:val="99"/>
    <w:semiHidden/>
    <w:unhideWhenUsed/>
    <w:rsid w:val="003C647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bcx0">
    <w:name w:val="bcx0"/>
    <w:basedOn w:val="DefaultParagraphFont"/>
    <w:rsid w:val="003C6478"/>
  </w:style>
  <w:style w:type="character" w:styleId="Hyperlink">
    <w:name w:val="Hyperlink"/>
    <w:basedOn w:val="DefaultParagraphFont"/>
    <w:uiPriority w:val="99"/>
    <w:unhideWhenUsed/>
    <w:rsid w:val="00666C53"/>
    <w:rPr>
      <w:color w:val="0000FF"/>
      <w:u w:val="single"/>
    </w:rPr>
  </w:style>
  <w:style w:type="character" w:styleId="UnresolvedMention">
    <w:name w:val="Unresolved Mention"/>
    <w:basedOn w:val="DefaultParagraphFont"/>
    <w:uiPriority w:val="99"/>
    <w:semiHidden/>
    <w:unhideWhenUsed/>
    <w:rsid w:val="0066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pi.ac.uk/2022/01/25/learning-from-the-past-what-can-we-learn-from-polytechn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932</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Bryant</dc:creator>
  <cp:keywords/>
  <dc:description/>
  <cp:lastModifiedBy>Christopher Bryant</cp:lastModifiedBy>
  <cp:revision>13</cp:revision>
  <dcterms:created xsi:type="dcterms:W3CDTF">2026-01-19T12:34:00Z</dcterms:created>
  <dcterms:modified xsi:type="dcterms:W3CDTF">2026-03-17T11:50:00Z</dcterms:modified>
</cp:coreProperties>
</file>